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275" w:rsidRPr="00FF519C" w:rsidRDefault="00ED7275" w:rsidP="00ED7275">
      <w:pPr>
        <w:spacing w:beforeLines="1" w:afterLines="1"/>
        <w:outlineLvl w:val="1"/>
        <w:rPr>
          <w:rFonts w:ascii="Times" w:hAnsi="Times"/>
          <w:b/>
          <w:szCs w:val="20"/>
        </w:rPr>
      </w:pPr>
      <w:r w:rsidRPr="00FF519C">
        <w:rPr>
          <w:rFonts w:ascii="Times" w:hAnsi="Times"/>
          <w:b/>
          <w:szCs w:val="20"/>
        </w:rPr>
        <w:t>Fallacies</w:t>
      </w:r>
    </w:p>
    <w:p w:rsidR="00FF519C" w:rsidRPr="00FF519C" w:rsidRDefault="00FF519C" w:rsidP="00FF519C">
      <w:pPr>
        <w:spacing w:beforeLines="1" w:afterLines="1"/>
        <w:rPr>
          <w:rFonts w:ascii="Times" w:hAnsi="Times" w:cs="Times New Roman"/>
          <w:szCs w:val="20"/>
        </w:rPr>
      </w:pPr>
      <w:r w:rsidRPr="00FF519C">
        <w:rPr>
          <w:rFonts w:ascii="Times" w:hAnsi="Times" w:cs="Times New Roman"/>
          <w:szCs w:val="20"/>
        </w:rPr>
        <w:t xml:space="preserve">In a short work entitled </w:t>
      </w:r>
      <w:r w:rsidRPr="00FF519C">
        <w:rPr>
          <w:rFonts w:ascii="Times" w:hAnsi="Times" w:cs="Times New Roman"/>
          <w:i/>
          <w:szCs w:val="20"/>
        </w:rPr>
        <w:t>Sophistical Refutations</w:t>
      </w:r>
      <w:r w:rsidRPr="00FF519C">
        <w:rPr>
          <w:rFonts w:ascii="Times" w:hAnsi="Times" w:cs="Times New Roman"/>
          <w:szCs w:val="20"/>
        </w:rPr>
        <w:t xml:space="preserve">, Aristotle introduces a theory of logical fallacies that has been remarkably influential.  His treatment is abbreviated and somewhat obscure, and there is inevitably scholarly disagreement about precise exegesis.  Aristotle thinks of </w:t>
      </w:r>
      <w:r w:rsidRPr="00FF519C">
        <w:rPr>
          <w:rFonts w:ascii="Times" w:hAnsi="Times" w:cs="Times New Roman"/>
          <w:i/>
          <w:szCs w:val="20"/>
        </w:rPr>
        <w:t>fallacies</w:t>
      </w:r>
      <w:r w:rsidRPr="00FF519C">
        <w:rPr>
          <w:rFonts w:ascii="Times" w:hAnsi="Times" w:cs="Times New Roman"/>
          <w:szCs w:val="20"/>
        </w:rPr>
        <w:t xml:space="preserve"> as instances of </w:t>
      </w:r>
      <w:r w:rsidRPr="00FF519C">
        <w:rPr>
          <w:rFonts w:ascii="Times" w:hAnsi="Times" w:cs="Times New Roman"/>
          <w:i/>
          <w:szCs w:val="20"/>
        </w:rPr>
        <w:t>specious</w:t>
      </w:r>
      <w:r w:rsidRPr="00FF519C">
        <w:rPr>
          <w:rFonts w:ascii="Times" w:hAnsi="Times" w:cs="Times New Roman"/>
          <w:szCs w:val="20"/>
        </w:rPr>
        <w:t xml:space="preserve"> reasoning; they are not merely errors but </w:t>
      </w:r>
      <w:r w:rsidRPr="00FF519C">
        <w:rPr>
          <w:rFonts w:ascii="Times" w:hAnsi="Times" w:cs="Times New Roman"/>
          <w:i/>
          <w:szCs w:val="20"/>
        </w:rPr>
        <w:t>hidden</w:t>
      </w:r>
      <w:r w:rsidRPr="00FF519C">
        <w:rPr>
          <w:rFonts w:ascii="Times" w:hAnsi="Times" w:cs="Times New Roman"/>
          <w:szCs w:val="20"/>
        </w:rPr>
        <w:t xml:space="preserve"> errors.  A fallacy is an incorrect reasoning strategy that gives the illusion of being sound or somehow conceals the underlying problem.  Aristotle divides fallacies into two broad categories: </w:t>
      </w:r>
      <w:proofErr w:type="gramStart"/>
      <w:r w:rsidRPr="00FF519C">
        <w:rPr>
          <w:rFonts w:ascii="Times" w:hAnsi="Times" w:cs="Times New Roman"/>
          <w:szCs w:val="20"/>
        </w:rPr>
        <w:t>those which</w:t>
      </w:r>
      <w:proofErr w:type="gramEnd"/>
      <w:r w:rsidRPr="00FF519C">
        <w:rPr>
          <w:rFonts w:ascii="Times" w:hAnsi="Times" w:cs="Times New Roman"/>
          <w:szCs w:val="20"/>
        </w:rPr>
        <w:t xml:space="preserve"> depend on language (sometimes called verbal fallacies) and those that are independent of language (sometimes called material fallacies).  There is some scholarly disagreement about particular fallacies, but traditional English names and familiar descriptions follow.  Linguistic fallacies include: homonymy (verbal equivocation), ambiguity (amphiboly or grammatical equivocation), composition (confusing parts with a whole), division (confusing a whole with parts), accent (equivocation that arises out of mispronunciation or misplaced emphasis) and figure of speech (ambiguity resulting from the form of an expression).  Independent fallacies include accident (overlooking exceptions), converse accident (hasty generalization or improper qualification), </w:t>
      </w:r>
      <w:proofErr w:type="gramStart"/>
      <w:r w:rsidRPr="00FF519C">
        <w:rPr>
          <w:rFonts w:ascii="Times" w:hAnsi="Times" w:cs="Times New Roman"/>
          <w:szCs w:val="20"/>
        </w:rPr>
        <w:t>irrelevant conclusion, affirming the consequent (assuming an effect guarantees the presence of one possible cause), begging the question (assuming the point), false cause, and complex question</w:t>
      </w:r>
      <w:proofErr w:type="gramEnd"/>
      <w:r w:rsidRPr="00FF519C">
        <w:rPr>
          <w:rFonts w:ascii="Times" w:hAnsi="Times" w:cs="Times New Roman"/>
          <w:szCs w:val="20"/>
        </w:rPr>
        <w:t xml:space="preserve"> (disguising two or more questions as one).  Logicians, influenced by scholastic logic, often gave these characteristic mistakes Latin names: </w:t>
      </w:r>
      <w:proofErr w:type="spellStart"/>
      <w:r w:rsidRPr="00FF519C">
        <w:rPr>
          <w:rFonts w:ascii="Times" w:hAnsi="Times" w:cs="Times New Roman"/>
          <w:i/>
          <w:szCs w:val="20"/>
        </w:rPr>
        <w:t>compositio</w:t>
      </w:r>
      <w:proofErr w:type="spellEnd"/>
      <w:r w:rsidRPr="00FF519C">
        <w:rPr>
          <w:rFonts w:ascii="Times" w:hAnsi="Times" w:cs="Times New Roman"/>
          <w:szCs w:val="20"/>
        </w:rPr>
        <w:t xml:space="preserve"> for composition, </w:t>
      </w:r>
      <w:proofErr w:type="spellStart"/>
      <w:r w:rsidRPr="00FF519C">
        <w:rPr>
          <w:rFonts w:ascii="Times" w:hAnsi="Times" w:cs="Times New Roman"/>
          <w:i/>
          <w:szCs w:val="20"/>
        </w:rPr>
        <w:t>divisio</w:t>
      </w:r>
      <w:proofErr w:type="spellEnd"/>
      <w:r w:rsidRPr="00FF519C">
        <w:rPr>
          <w:rFonts w:ascii="Times" w:hAnsi="Times" w:cs="Times New Roman"/>
          <w:szCs w:val="20"/>
        </w:rPr>
        <w:t xml:space="preserve"> for division, </w:t>
      </w:r>
      <w:proofErr w:type="spellStart"/>
      <w:r w:rsidRPr="00FF519C">
        <w:rPr>
          <w:rFonts w:ascii="Times" w:hAnsi="Times" w:cs="Times New Roman"/>
          <w:i/>
          <w:szCs w:val="20"/>
        </w:rPr>
        <w:t>secundum</w:t>
      </w:r>
      <w:proofErr w:type="spellEnd"/>
      <w:r w:rsidRPr="00FF519C">
        <w:rPr>
          <w:rFonts w:ascii="Times" w:hAnsi="Times" w:cs="Times New Roman"/>
          <w:i/>
          <w:szCs w:val="20"/>
        </w:rPr>
        <w:t xml:space="preserve"> quid </w:t>
      </w:r>
      <w:proofErr w:type="gramStart"/>
      <w:r w:rsidRPr="00FF519C">
        <w:rPr>
          <w:rFonts w:ascii="Times" w:hAnsi="Times" w:cs="Times New Roman"/>
          <w:i/>
          <w:szCs w:val="20"/>
        </w:rPr>
        <w:t>et</w:t>
      </w:r>
      <w:proofErr w:type="gramEnd"/>
      <w:r w:rsidRPr="00FF519C">
        <w:rPr>
          <w:rFonts w:ascii="Times" w:hAnsi="Times" w:cs="Times New Roman"/>
          <w:i/>
          <w:szCs w:val="20"/>
        </w:rPr>
        <w:t xml:space="preserve"> </w:t>
      </w:r>
      <w:proofErr w:type="spellStart"/>
      <w:r w:rsidRPr="00FF519C">
        <w:rPr>
          <w:rFonts w:ascii="Times" w:hAnsi="Times" w:cs="Times New Roman"/>
          <w:i/>
          <w:szCs w:val="20"/>
        </w:rPr>
        <w:t>simpliciter</w:t>
      </w:r>
      <w:proofErr w:type="spellEnd"/>
      <w:r w:rsidRPr="00FF519C">
        <w:rPr>
          <w:rFonts w:ascii="Times" w:hAnsi="Times" w:cs="Times New Roman"/>
          <w:szCs w:val="20"/>
        </w:rPr>
        <w:t xml:space="preserve"> for converse accident, </w:t>
      </w:r>
      <w:proofErr w:type="spellStart"/>
      <w:r w:rsidRPr="00FF519C">
        <w:rPr>
          <w:rFonts w:ascii="Times" w:hAnsi="Times" w:cs="Times New Roman"/>
          <w:i/>
          <w:szCs w:val="20"/>
        </w:rPr>
        <w:t>ignoranti</w:t>
      </w:r>
      <w:proofErr w:type="spellEnd"/>
      <w:r w:rsidRPr="00FF519C">
        <w:rPr>
          <w:rFonts w:ascii="Times" w:hAnsi="Times" w:cs="Times New Roman"/>
          <w:i/>
          <w:szCs w:val="20"/>
        </w:rPr>
        <w:t xml:space="preserve"> </w:t>
      </w:r>
      <w:proofErr w:type="spellStart"/>
      <w:r w:rsidRPr="00FF519C">
        <w:rPr>
          <w:rFonts w:ascii="Times" w:hAnsi="Times" w:cs="Times New Roman"/>
          <w:i/>
          <w:szCs w:val="20"/>
        </w:rPr>
        <w:t>enlenchi</w:t>
      </w:r>
      <w:proofErr w:type="spellEnd"/>
      <w:r w:rsidRPr="00FF519C">
        <w:rPr>
          <w:rFonts w:ascii="Times" w:hAnsi="Times" w:cs="Times New Roman"/>
          <w:szCs w:val="20"/>
        </w:rPr>
        <w:t xml:space="preserve"> for </w:t>
      </w:r>
      <w:proofErr w:type="spellStart"/>
      <w:r w:rsidRPr="00FF519C">
        <w:rPr>
          <w:rFonts w:ascii="Times" w:hAnsi="Times" w:cs="Times New Roman"/>
          <w:szCs w:val="20"/>
        </w:rPr>
        <w:t>nonrelevant</w:t>
      </w:r>
      <w:proofErr w:type="spellEnd"/>
      <w:r w:rsidRPr="00FF519C">
        <w:rPr>
          <w:rFonts w:ascii="Times" w:hAnsi="Times" w:cs="Times New Roman"/>
          <w:szCs w:val="20"/>
        </w:rPr>
        <w:t xml:space="preserve"> conclusion, and </w:t>
      </w:r>
      <w:proofErr w:type="spellStart"/>
      <w:r w:rsidRPr="00FF519C">
        <w:rPr>
          <w:rFonts w:ascii="Times" w:hAnsi="Times" w:cs="Times New Roman"/>
          <w:i/>
          <w:szCs w:val="20"/>
        </w:rPr>
        <w:t>petitio</w:t>
      </w:r>
      <w:proofErr w:type="spellEnd"/>
      <w:r w:rsidRPr="00FF519C">
        <w:rPr>
          <w:rFonts w:ascii="Times" w:hAnsi="Times" w:cs="Times New Roman"/>
          <w:i/>
          <w:szCs w:val="20"/>
        </w:rPr>
        <w:t xml:space="preserve"> </w:t>
      </w:r>
      <w:proofErr w:type="spellStart"/>
      <w:r w:rsidRPr="00FF519C">
        <w:rPr>
          <w:rFonts w:ascii="Times" w:hAnsi="Times" w:cs="Times New Roman"/>
          <w:i/>
          <w:szCs w:val="20"/>
        </w:rPr>
        <w:t>principii</w:t>
      </w:r>
      <w:proofErr w:type="spellEnd"/>
      <w:r w:rsidRPr="00FF519C">
        <w:rPr>
          <w:rFonts w:ascii="Times" w:hAnsi="Times" w:cs="Times New Roman"/>
          <w:szCs w:val="20"/>
        </w:rPr>
        <w:t xml:space="preserve"> for begging the question.</w:t>
      </w:r>
    </w:p>
    <w:p w:rsidR="00FF519C" w:rsidRPr="00FF519C" w:rsidRDefault="00FF519C" w:rsidP="00FF519C">
      <w:pPr>
        <w:spacing w:beforeLines="1" w:afterLines="1"/>
        <w:rPr>
          <w:rFonts w:ascii="Times" w:hAnsi="Times" w:cs="Times New Roman"/>
          <w:szCs w:val="20"/>
        </w:rPr>
      </w:pPr>
    </w:p>
    <w:p w:rsidR="00FF519C" w:rsidRPr="00FF519C" w:rsidRDefault="00FF519C" w:rsidP="00FF519C">
      <w:pPr>
        <w:spacing w:beforeLines="1" w:afterLines="1"/>
        <w:rPr>
          <w:rFonts w:ascii="Times" w:hAnsi="Times" w:cs="Times New Roman"/>
          <w:szCs w:val="20"/>
        </w:rPr>
      </w:pPr>
      <w:r w:rsidRPr="00FF519C">
        <w:rPr>
          <w:rFonts w:ascii="Times" w:hAnsi="Times" w:cs="Times New Roman"/>
          <w:szCs w:val="20"/>
        </w:rPr>
        <w:t>Consider three brief examples of fallacies from Aristotle’s original text.  Aristotle formulates the following amphiboly (which admittedly sounds awkward in English): “I wish that you the enemy may capture.”  (</w:t>
      </w:r>
      <w:r w:rsidRPr="00FF519C">
        <w:rPr>
          <w:rFonts w:ascii="Times" w:hAnsi="Times" w:cs="Times New Roman"/>
          <w:i/>
          <w:szCs w:val="20"/>
        </w:rPr>
        <w:t>Sophistical Refutations</w:t>
      </w:r>
      <w:r w:rsidRPr="00FF519C">
        <w:rPr>
          <w:rFonts w:ascii="Times" w:hAnsi="Times" w:cs="Times New Roman"/>
          <w:szCs w:val="20"/>
        </w:rPr>
        <w:t>,</w:t>
      </w:r>
      <w:r w:rsidRPr="00FF519C">
        <w:rPr>
          <w:rFonts w:ascii="Times" w:hAnsi="Times" w:cs="Times New Roman"/>
          <w:i/>
          <w:szCs w:val="20"/>
        </w:rPr>
        <w:t xml:space="preserve"> </w:t>
      </w:r>
      <w:r w:rsidRPr="00FF519C">
        <w:rPr>
          <w:rFonts w:ascii="Times" w:hAnsi="Times" w:cs="Times New Roman"/>
          <w:szCs w:val="20"/>
        </w:rPr>
        <w:t>4.166a7-8, Pickard-Cambridge.)  Clearly, the grammatical structure of the statement leaves it ambiguous as to whether the speaker is hoping that the enemy or “you” be captured.  In discussing complex question, he supplies the following perplexing example: “Ought one to obey the wise or one’s father?”  (Ibid</w:t>
      </w:r>
      <w:proofErr w:type="gramStart"/>
      <w:r w:rsidRPr="00FF519C">
        <w:rPr>
          <w:rFonts w:ascii="Times" w:hAnsi="Times" w:cs="Times New Roman"/>
          <w:szCs w:val="20"/>
        </w:rPr>
        <w:t>.,</w:t>
      </w:r>
      <w:proofErr w:type="gramEnd"/>
      <w:r w:rsidRPr="00FF519C">
        <w:rPr>
          <w:rFonts w:ascii="Times" w:hAnsi="Times" w:cs="Times New Roman"/>
          <w:szCs w:val="20"/>
        </w:rPr>
        <w:t xml:space="preserve"> 12.173a21.)  Obviously, from a Greek perspective, one ought to obey both.  The problem is that the question has been worded in such a way that anyone who answers will be forced to reject one moral duty in order to embrace the other.  In fact, there are two separate questions here—Should one obey the wise?  Should one obey one’s father</w:t>
      </w:r>
      <w:proofErr w:type="gramStart"/>
      <w:r w:rsidRPr="00FF519C">
        <w:rPr>
          <w:rFonts w:ascii="Times" w:hAnsi="Times" w:cs="Times New Roman"/>
          <w:szCs w:val="20"/>
        </w:rPr>
        <w:t>?—</w:t>
      </w:r>
      <w:proofErr w:type="gramEnd"/>
      <w:r w:rsidRPr="00FF519C">
        <w:rPr>
          <w:rFonts w:ascii="Times" w:hAnsi="Times" w:cs="Times New Roman"/>
          <w:szCs w:val="20"/>
        </w:rPr>
        <w:t>that have been illegitimately combined to produce a single question with a single answer.  Finally, Aristotle provides the following time-</w:t>
      </w:r>
      <w:proofErr w:type="spellStart"/>
      <w:r w:rsidRPr="00FF519C">
        <w:rPr>
          <w:rFonts w:ascii="Times" w:hAnsi="Times" w:cs="Times New Roman"/>
          <w:szCs w:val="20"/>
        </w:rPr>
        <w:t>honoured</w:t>
      </w:r>
      <w:proofErr w:type="spellEnd"/>
      <w:r w:rsidRPr="00FF519C">
        <w:rPr>
          <w:rFonts w:ascii="Times" w:hAnsi="Times" w:cs="Times New Roman"/>
          <w:szCs w:val="20"/>
        </w:rPr>
        <w:t xml:space="preserve"> example of affirming the consequent: “Since after the rain the ground is wet, we suppose that if the ground is wet, it has been raining; whereas that does not necessarily follow”  (Ibid</w:t>
      </w:r>
      <w:proofErr w:type="gramStart"/>
      <w:r w:rsidRPr="00FF519C">
        <w:rPr>
          <w:rFonts w:ascii="Times" w:hAnsi="Times" w:cs="Times New Roman"/>
          <w:szCs w:val="20"/>
        </w:rPr>
        <w:t>.,</w:t>
      </w:r>
      <w:proofErr w:type="gramEnd"/>
      <w:r w:rsidRPr="00FF519C">
        <w:rPr>
          <w:rFonts w:ascii="Times" w:hAnsi="Times" w:cs="Times New Roman"/>
          <w:szCs w:val="20"/>
        </w:rPr>
        <w:t xml:space="preserve"> 5.167b5-8.)  Aristotle’s point is that assuming that the same effect never has more than one cause misconstrues the true nature of the world.  The same effect may have several causes.  Many of Aristotle’s examples have to do with verbal tricks which are entirely unconvincing—for example, the person who commits the fallacy of division by arguing that the number “5” is both even and odd because it can be divided into an even and an odd number: “2” and “3.”  (Ibid</w:t>
      </w:r>
      <w:proofErr w:type="gramStart"/>
      <w:r w:rsidRPr="00FF519C">
        <w:rPr>
          <w:rFonts w:ascii="Times" w:hAnsi="Times" w:cs="Times New Roman"/>
          <w:szCs w:val="20"/>
        </w:rPr>
        <w:t>.,</w:t>
      </w:r>
      <w:proofErr w:type="gramEnd"/>
      <w:r w:rsidRPr="00FF519C">
        <w:rPr>
          <w:rFonts w:ascii="Times" w:hAnsi="Times" w:cs="Times New Roman"/>
          <w:szCs w:val="20"/>
        </w:rPr>
        <w:t xml:space="preserve"> 4.166a32-33.)  But the interest here is theoretical: figuring out where an </w:t>
      </w:r>
      <w:proofErr w:type="gramStart"/>
      <w:r w:rsidRPr="00FF519C">
        <w:rPr>
          <w:rFonts w:ascii="Times" w:hAnsi="Times" w:cs="Times New Roman"/>
          <w:szCs w:val="20"/>
        </w:rPr>
        <w:t>obviously-incorrect</w:t>
      </w:r>
      <w:proofErr w:type="gramEnd"/>
      <w:r w:rsidRPr="00FF519C">
        <w:rPr>
          <w:rFonts w:ascii="Times" w:hAnsi="Times" w:cs="Times New Roman"/>
          <w:szCs w:val="20"/>
        </w:rPr>
        <w:t xml:space="preserve"> argument or proposition went wrong.  We should note that much of this text, which deals with natural language argumentation, does not presuppose the syllogistic form.  Aristotle does spend a good bit of time considering how fallacies are related to one another.  </w:t>
      </w:r>
      <w:hyperlink r:id="rId4" w:history="1">
        <w:r w:rsidRPr="00FF519C">
          <w:rPr>
            <w:rFonts w:ascii="Times" w:hAnsi="Times" w:cs="Times New Roman"/>
            <w:color w:val="0000FF"/>
            <w:szCs w:val="20"/>
            <w:u w:val="single"/>
          </w:rPr>
          <w:t>Fallacy theory</w:t>
        </w:r>
      </w:hyperlink>
      <w:r w:rsidRPr="00FF519C">
        <w:rPr>
          <w:rFonts w:ascii="Times" w:hAnsi="Times" w:cs="Times New Roman"/>
          <w:szCs w:val="20"/>
        </w:rPr>
        <w:t>, it is worth adding, is a thriving area of research in contemporary argumentation theory.  Some of these issues are hotly debated.</w:t>
      </w:r>
    </w:p>
    <w:p w:rsidR="00ED7275" w:rsidRDefault="00ED7275"/>
    <w:sectPr w:rsidR="00ED7275" w:rsidSect="00ED727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D7275"/>
    <w:rsid w:val="00ED7275"/>
    <w:rsid w:val="00FF519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BBC"/>
    <w:rPr>
      <w:sz w:val="24"/>
      <w:szCs w:val="24"/>
    </w:rPr>
  </w:style>
  <w:style w:type="paragraph" w:styleId="Heading2">
    <w:name w:val="heading 2"/>
    <w:basedOn w:val="Normal"/>
    <w:link w:val="Heading2Char"/>
    <w:uiPriority w:val="9"/>
    <w:rsid w:val="00ED7275"/>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ED7275"/>
    <w:rPr>
      <w:rFonts w:ascii="Times" w:hAnsi="Times"/>
      <w:b/>
      <w:sz w:val="36"/>
    </w:rPr>
  </w:style>
  <w:style w:type="paragraph" w:styleId="NormalWeb">
    <w:name w:val="Normal (Web)"/>
    <w:basedOn w:val="Normal"/>
    <w:uiPriority w:val="99"/>
    <w:rsid w:val="00ED7275"/>
    <w:pPr>
      <w:spacing w:beforeLines="1" w:afterLines="1"/>
    </w:pPr>
    <w:rPr>
      <w:rFonts w:ascii="Times" w:hAnsi="Times" w:cs="Times New Roman"/>
      <w:sz w:val="20"/>
      <w:szCs w:val="20"/>
    </w:rPr>
  </w:style>
  <w:style w:type="character" w:styleId="Emphasis">
    <w:name w:val="Emphasis"/>
    <w:basedOn w:val="DefaultParagraphFont"/>
    <w:uiPriority w:val="20"/>
    <w:rsid w:val="00ED7275"/>
    <w:rPr>
      <w:i/>
    </w:rPr>
  </w:style>
  <w:style w:type="character" w:styleId="Hyperlink">
    <w:name w:val="Hyperlink"/>
    <w:basedOn w:val="DefaultParagraphFont"/>
    <w:uiPriority w:val="99"/>
    <w:rsid w:val="00ED7275"/>
    <w:rPr>
      <w:color w:val="0000FF"/>
      <w:u w:val="single"/>
    </w:rPr>
  </w:style>
</w:styles>
</file>

<file path=word/webSettings.xml><?xml version="1.0" encoding="utf-8"?>
<w:webSettings xmlns:r="http://schemas.openxmlformats.org/officeDocument/2006/relationships" xmlns:w="http://schemas.openxmlformats.org/wordprocessingml/2006/main">
  <w:divs>
    <w:div w:id="7317360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iep.utm.edu/fallacy/"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594</Words>
  <Characters>3389</Characters>
  <Application>Microsoft Macintosh Word</Application>
  <DocSecurity>0</DocSecurity>
  <Lines>28</Lines>
  <Paragraphs>6</Paragraphs>
  <ScaleCrop>false</ScaleCrop>
  <Company>MUM</Company>
  <LinksUpToDate>false</LinksUpToDate>
  <CharactersWithSpaces>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1</cp:revision>
  <dcterms:created xsi:type="dcterms:W3CDTF">2012-05-22T20:59:00Z</dcterms:created>
  <dcterms:modified xsi:type="dcterms:W3CDTF">2012-05-23T16:26:00Z</dcterms:modified>
</cp:coreProperties>
</file>